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5" w:rsidRPr="00781433" w:rsidRDefault="00B95E55" w:rsidP="00EC1149">
      <w:pPr>
        <w:jc w:val="center"/>
        <w:rPr>
          <w:rFonts w:ascii="Times New Roman" w:eastAsia="方正小标宋_GBK" w:hAnsi="Times New Roman"/>
          <w:sz w:val="44"/>
          <w:szCs w:val="44"/>
          <w:lang w:eastAsia="zh-CN"/>
        </w:rPr>
      </w:pPr>
      <w:r w:rsidRPr="00781433">
        <w:rPr>
          <w:rFonts w:ascii="Times New Roman" w:eastAsia="方正小标宋_GBK" w:hAnsi="Times New Roman" w:hint="eastAsia"/>
          <w:sz w:val="44"/>
          <w:szCs w:val="44"/>
          <w:lang w:eastAsia="zh-CN"/>
        </w:rPr>
        <w:t>池西区</w:t>
      </w:r>
      <w:r>
        <w:rPr>
          <w:rFonts w:ascii="Times New Roman" w:eastAsia="方正小标宋_GBK" w:hAnsi="Times New Roman" w:hint="eastAsia"/>
          <w:sz w:val="44"/>
          <w:szCs w:val="44"/>
          <w:lang w:eastAsia="zh-CN"/>
        </w:rPr>
        <w:t>“</w:t>
      </w:r>
      <w:r w:rsidRPr="00781433">
        <w:rPr>
          <w:rFonts w:ascii="Times New Roman" w:eastAsia="方正小标宋_GBK" w:hAnsi="Times New Roman" w:hint="eastAsia"/>
          <w:sz w:val="44"/>
          <w:szCs w:val="44"/>
          <w:lang w:eastAsia="zh-CN"/>
        </w:rPr>
        <w:t>三重一大</w:t>
      </w:r>
      <w:r>
        <w:rPr>
          <w:rFonts w:ascii="Times New Roman" w:eastAsia="方正小标宋_GBK" w:hAnsi="Times New Roman" w:hint="eastAsia"/>
          <w:sz w:val="44"/>
          <w:szCs w:val="44"/>
          <w:lang w:eastAsia="zh-CN"/>
        </w:rPr>
        <w:t>”</w:t>
      </w:r>
      <w:r w:rsidRPr="00781433">
        <w:rPr>
          <w:rFonts w:ascii="Times New Roman" w:eastAsia="方正小标宋_GBK" w:hAnsi="Times New Roman" w:hint="eastAsia"/>
          <w:sz w:val="44"/>
          <w:szCs w:val="44"/>
          <w:lang w:eastAsia="zh-CN"/>
        </w:rPr>
        <w:t>事项清单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7934"/>
      </w:tblGrid>
      <w:tr w:rsidR="00B95E55" w:rsidRPr="00E235ED" w:rsidTr="00C06C2F">
        <w:trPr>
          <w:trHeight w:val="701"/>
          <w:jc w:val="center"/>
        </w:trPr>
        <w:tc>
          <w:tcPr>
            <w:tcW w:w="466" w:type="pct"/>
            <w:vAlign w:val="center"/>
          </w:tcPr>
          <w:p w:rsidR="00B95E55" w:rsidRPr="00781433" w:rsidRDefault="00B95E55" w:rsidP="00C06C2F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4534" w:type="pct"/>
            <w:vAlign w:val="center"/>
          </w:tcPr>
          <w:p w:rsidR="00B95E55" w:rsidRPr="00781433" w:rsidRDefault="00B95E55" w:rsidP="00C06C2F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主</w:t>
            </w:r>
            <w:r>
              <w:rPr>
                <w:rFonts w:ascii="Times New Roman" w:eastAsia="黑体" w:hAnsi="黑体"/>
                <w:sz w:val="24"/>
                <w:szCs w:val="24"/>
                <w:lang w:eastAsia="zh-CN"/>
              </w:rPr>
              <w:t xml:space="preserve"> </w:t>
            </w:r>
            <w:r w:rsidRPr="00781433">
              <w:rPr>
                <w:rFonts w:ascii="Times New Roman" w:eastAsia="黑体" w:hAnsi="Times New Roman"/>
                <w:sz w:val="24"/>
                <w:szCs w:val="24"/>
                <w:lang w:eastAsia="zh-CN"/>
              </w:rPr>
              <w:t xml:space="preserve"> </w:t>
            </w: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要</w:t>
            </w:r>
            <w:r>
              <w:rPr>
                <w:rFonts w:ascii="Times New Roman" w:eastAsia="黑体" w:hAnsi="黑体"/>
                <w:sz w:val="24"/>
                <w:szCs w:val="24"/>
                <w:lang w:eastAsia="zh-CN"/>
              </w:rPr>
              <w:t xml:space="preserve"> </w:t>
            </w:r>
            <w:r w:rsidRPr="00781433">
              <w:rPr>
                <w:rFonts w:ascii="Times New Roman" w:eastAsia="黑体" w:hAnsi="Times New Roman"/>
                <w:sz w:val="24"/>
                <w:szCs w:val="24"/>
                <w:lang w:eastAsia="zh-CN"/>
              </w:rPr>
              <w:t xml:space="preserve"> </w:t>
            </w: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内</w:t>
            </w:r>
            <w:r>
              <w:rPr>
                <w:rFonts w:ascii="Times New Roman" w:eastAsia="黑体" w:hAnsi="黑体"/>
                <w:sz w:val="24"/>
                <w:szCs w:val="24"/>
                <w:lang w:eastAsia="zh-CN"/>
              </w:rPr>
              <w:t xml:space="preserve"> </w:t>
            </w:r>
            <w:r w:rsidRPr="00781433">
              <w:rPr>
                <w:rFonts w:ascii="Times New Roman" w:eastAsia="黑体" w:hAnsi="Times New Roman"/>
                <w:sz w:val="24"/>
                <w:szCs w:val="24"/>
                <w:lang w:eastAsia="zh-CN"/>
              </w:rPr>
              <w:t xml:space="preserve"> </w:t>
            </w: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容</w:t>
            </w:r>
          </w:p>
        </w:tc>
      </w:tr>
      <w:tr w:rsidR="00B95E55" w:rsidRPr="00E235ED" w:rsidTr="002543C2">
        <w:trPr>
          <w:trHeight w:val="466"/>
          <w:jc w:val="center"/>
        </w:trPr>
        <w:tc>
          <w:tcPr>
            <w:tcW w:w="466" w:type="pct"/>
            <w:vMerge w:val="restart"/>
            <w:vAlign w:val="center"/>
          </w:tcPr>
          <w:p w:rsidR="00B95E55" w:rsidRPr="00781433" w:rsidRDefault="00B95E55" w:rsidP="00781433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重大</w:t>
            </w:r>
          </w:p>
          <w:p w:rsidR="00B95E55" w:rsidRPr="00781433" w:rsidRDefault="00B95E55" w:rsidP="00781433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 w:rsidRPr="00781433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决策</w:t>
            </w: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 w:line="240" w:lineRule="auto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1.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贯彻落实党的政策、国家法律法规及上级重要决定和工作部署的实施意见和措施；</w:t>
            </w:r>
          </w:p>
        </w:tc>
      </w:tr>
      <w:tr w:rsidR="00B95E55" w:rsidRPr="00E235ED" w:rsidTr="002543C2">
        <w:trPr>
          <w:trHeight w:val="822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2.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讨论和决定全区经济社会发展战略、重大改革事项、重大民生事项等经济社会发展重大问题，对全区经济建设、政治建设、文化建设、生态文明建设的重大事项作出决定；</w:t>
            </w:r>
          </w:p>
        </w:tc>
      </w:tr>
      <w:tr w:rsidR="00B95E55" w:rsidRPr="00E235ED" w:rsidTr="002543C2">
        <w:trPr>
          <w:trHeight w:val="1057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3.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研究履行全面从严治党责任，制定全面从严治党重要举措，讨论和决定全区党的政治建设、思想建设、组织建设、作风建设、纪律建设和制度建设，以及党风廉政建设、反腐败工作、依法治区、法治建设等方面重大事项；</w:t>
            </w:r>
          </w:p>
        </w:tc>
      </w:tr>
      <w:tr w:rsidR="00B95E55" w:rsidRPr="00E235ED" w:rsidTr="002543C2">
        <w:trPr>
          <w:trHeight w:val="443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4.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审定涉及全区的政务工作和重大活动事项；</w:t>
            </w:r>
          </w:p>
        </w:tc>
      </w:tr>
      <w:tr w:rsidR="00B95E55" w:rsidRPr="00E235ED" w:rsidTr="002543C2">
        <w:trPr>
          <w:trHeight w:val="417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5.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审定上报年度预算和全区重大财务管理、重大固定资产管理等方面的事项；</w:t>
            </w: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95E55" w:rsidRPr="00E235ED" w:rsidTr="002543C2">
        <w:trPr>
          <w:trHeight w:val="491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6.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研究提出内部机构设置、职能调整和人员编制事项等；</w:t>
            </w:r>
          </w:p>
        </w:tc>
      </w:tr>
      <w:tr w:rsidR="00B95E55" w:rsidRPr="00E235ED" w:rsidTr="002543C2">
        <w:trPr>
          <w:trHeight w:val="496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7.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制定和实施突发事件应急预案、重大突发事件应急处置措施；</w:t>
            </w:r>
          </w:p>
        </w:tc>
      </w:tr>
      <w:tr w:rsidR="00B95E55" w:rsidRPr="00E235ED" w:rsidTr="002543C2">
        <w:trPr>
          <w:trHeight w:val="399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8.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研究审议重大招商项目合同（协议）；</w:t>
            </w:r>
          </w:p>
        </w:tc>
      </w:tr>
      <w:tr w:rsidR="00B95E55" w:rsidRPr="00E235ED" w:rsidTr="002543C2">
        <w:trPr>
          <w:trHeight w:val="659"/>
          <w:jc w:val="center"/>
        </w:trPr>
        <w:tc>
          <w:tcPr>
            <w:tcW w:w="466" w:type="pct"/>
            <w:vMerge/>
          </w:tcPr>
          <w:p w:rsidR="00B95E55" w:rsidRPr="00781433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9.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其他需要集体决策的重大事项。</w:t>
            </w:r>
          </w:p>
        </w:tc>
      </w:tr>
      <w:tr w:rsidR="00B95E55" w:rsidRPr="00E235ED" w:rsidTr="002543C2">
        <w:trPr>
          <w:trHeight w:val="445"/>
          <w:jc w:val="center"/>
        </w:trPr>
        <w:tc>
          <w:tcPr>
            <w:tcW w:w="466" w:type="pct"/>
            <w:vMerge w:val="restart"/>
            <w:vAlign w:val="center"/>
          </w:tcPr>
          <w:p w:rsidR="00B95E55" w:rsidRPr="00781433" w:rsidRDefault="00B95E55" w:rsidP="000640DC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  <w:lang w:eastAsia="zh-CN"/>
              </w:rPr>
              <w:t>重</w:t>
            </w:r>
            <w:r w:rsidRPr="000640DC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要干部任免奖惩</w:t>
            </w: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1.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区领导班子成员的工作分工和调整；</w:t>
            </w:r>
          </w:p>
        </w:tc>
      </w:tr>
      <w:tr w:rsidR="00B95E55" w:rsidRPr="00E235ED" w:rsidTr="002543C2">
        <w:trPr>
          <w:trHeight w:val="814"/>
          <w:jc w:val="center"/>
        </w:trPr>
        <w:tc>
          <w:tcPr>
            <w:tcW w:w="466" w:type="pct"/>
            <w:vMerge/>
            <w:vAlign w:val="center"/>
          </w:tcPr>
          <w:p w:rsidR="00B95E55" w:rsidRDefault="00B95E55" w:rsidP="000640DC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2.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按照干部管理权限和《党政领导干部选拔任用工作条例》规定的程序，需上会审定的干部任免事项；</w:t>
            </w:r>
          </w:p>
        </w:tc>
      </w:tr>
      <w:tr w:rsidR="00B95E55" w:rsidRPr="00E235ED" w:rsidTr="002543C2">
        <w:trPr>
          <w:trHeight w:val="490"/>
          <w:jc w:val="center"/>
        </w:trPr>
        <w:tc>
          <w:tcPr>
            <w:tcW w:w="466" w:type="pct"/>
            <w:vMerge/>
            <w:vAlign w:val="center"/>
          </w:tcPr>
          <w:p w:rsidR="00B95E55" w:rsidRDefault="00B95E55" w:rsidP="000640DC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3.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区直部门和直属事业单位编制内人员的招聘和调动；</w:t>
            </w:r>
          </w:p>
        </w:tc>
      </w:tr>
      <w:tr w:rsidR="00B95E55" w:rsidRPr="00E235ED" w:rsidTr="002543C2">
        <w:trPr>
          <w:trHeight w:val="394"/>
          <w:jc w:val="center"/>
        </w:trPr>
        <w:tc>
          <w:tcPr>
            <w:tcW w:w="466" w:type="pct"/>
            <w:vMerge/>
            <w:vAlign w:val="center"/>
          </w:tcPr>
          <w:p w:rsidR="00B95E55" w:rsidRDefault="00B95E55" w:rsidP="000640DC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4.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各类代表、委员及长白山管委会级以上劳模的推荐；</w:t>
            </w:r>
          </w:p>
        </w:tc>
      </w:tr>
      <w:tr w:rsidR="00B95E55" w:rsidRPr="00E235ED" w:rsidTr="002543C2">
        <w:trPr>
          <w:trHeight w:val="430"/>
          <w:jc w:val="center"/>
        </w:trPr>
        <w:tc>
          <w:tcPr>
            <w:tcW w:w="466" w:type="pct"/>
            <w:vMerge/>
            <w:vAlign w:val="center"/>
          </w:tcPr>
          <w:p w:rsidR="00B95E55" w:rsidRDefault="00B95E55" w:rsidP="000640DC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5.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其他应当集体决策的重要事项。</w:t>
            </w:r>
          </w:p>
        </w:tc>
      </w:tr>
      <w:tr w:rsidR="00B95E55" w:rsidRPr="00E235ED" w:rsidTr="002543C2">
        <w:trPr>
          <w:trHeight w:val="371"/>
          <w:jc w:val="center"/>
        </w:trPr>
        <w:tc>
          <w:tcPr>
            <w:tcW w:w="466" w:type="pct"/>
            <w:vMerge w:val="restart"/>
            <w:vAlign w:val="center"/>
          </w:tcPr>
          <w:p w:rsidR="00B95E55" w:rsidRPr="00781433" w:rsidRDefault="00B95E55" w:rsidP="00606678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  <w:lang w:eastAsia="zh-CN"/>
              </w:rPr>
              <w:t>重大项目安排</w:t>
            </w: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1.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全区年度重点项目安排计划及调整；</w:t>
            </w:r>
          </w:p>
        </w:tc>
      </w:tr>
      <w:tr w:rsidR="00B95E55" w:rsidRPr="00E235ED" w:rsidTr="002543C2">
        <w:trPr>
          <w:trHeight w:val="628"/>
          <w:jc w:val="center"/>
        </w:trPr>
        <w:tc>
          <w:tcPr>
            <w:tcW w:w="466" w:type="pct"/>
            <w:vMerge/>
            <w:vAlign w:val="center"/>
          </w:tcPr>
          <w:p w:rsidR="00B95E55" w:rsidRDefault="00B95E55" w:rsidP="00606678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2.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区属国有企业的合并、分立、改制、解散、申请破产，以及法律、法规规定应当由履行出资人职责的机构报经区委、管委会批准的重大事项；</w:t>
            </w:r>
          </w:p>
        </w:tc>
      </w:tr>
      <w:tr w:rsidR="00B95E55" w:rsidRPr="00E235ED" w:rsidTr="002543C2">
        <w:trPr>
          <w:trHeight w:val="459"/>
          <w:jc w:val="center"/>
        </w:trPr>
        <w:tc>
          <w:tcPr>
            <w:tcW w:w="466" w:type="pct"/>
            <w:vMerge/>
            <w:vAlign w:val="center"/>
          </w:tcPr>
          <w:p w:rsidR="00B95E55" w:rsidRDefault="00B95E55" w:rsidP="00606678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3.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其他需要集体决策的重大项目的实施事项。</w:t>
            </w:r>
          </w:p>
        </w:tc>
      </w:tr>
      <w:tr w:rsidR="00B95E55" w:rsidRPr="00E235ED" w:rsidTr="002543C2">
        <w:trPr>
          <w:trHeight w:val="444"/>
          <w:jc w:val="center"/>
        </w:trPr>
        <w:tc>
          <w:tcPr>
            <w:tcW w:w="466" w:type="pct"/>
            <w:vMerge w:val="restart"/>
            <w:vAlign w:val="center"/>
          </w:tcPr>
          <w:p w:rsidR="00B95E55" w:rsidRPr="00781433" w:rsidRDefault="00B95E55" w:rsidP="007E1793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  <w:r w:rsidRPr="00793D44">
              <w:rPr>
                <w:rFonts w:ascii="Times New Roman" w:eastAsia="黑体" w:hAnsi="黑体" w:hint="eastAsia"/>
                <w:sz w:val="24"/>
                <w:szCs w:val="24"/>
                <w:lang w:eastAsia="zh-CN"/>
              </w:rPr>
              <w:t>大额度资金使用</w:t>
            </w: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1.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年度预算内大额度资金的调动和使用；</w:t>
            </w:r>
          </w:p>
        </w:tc>
      </w:tr>
      <w:tr w:rsidR="00B95E55" w:rsidRPr="00E235ED" w:rsidTr="002543C2">
        <w:trPr>
          <w:trHeight w:val="491"/>
          <w:jc w:val="center"/>
        </w:trPr>
        <w:tc>
          <w:tcPr>
            <w:tcW w:w="466" w:type="pct"/>
            <w:vMerge/>
          </w:tcPr>
          <w:p w:rsidR="00B95E55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2.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超预算资金的调动和使用；</w:t>
            </w:r>
          </w:p>
        </w:tc>
      </w:tr>
      <w:tr w:rsidR="00B95E55" w:rsidRPr="00E235ED" w:rsidTr="002543C2">
        <w:trPr>
          <w:trHeight w:val="598"/>
          <w:jc w:val="center"/>
        </w:trPr>
        <w:tc>
          <w:tcPr>
            <w:tcW w:w="466" w:type="pct"/>
            <w:vMerge/>
          </w:tcPr>
          <w:p w:rsidR="00B95E55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3.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未列入预算（计划）的一次性使用额度在</w:t>
            </w: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 xml:space="preserve"> 10 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万元（含）以上或未达</w:t>
            </w: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 xml:space="preserve"> 10 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万元但关系重大的资金使用；</w:t>
            </w:r>
          </w:p>
        </w:tc>
      </w:tr>
      <w:tr w:rsidR="00B95E55" w:rsidRPr="00E235ED" w:rsidTr="002543C2">
        <w:trPr>
          <w:trHeight w:val="591"/>
          <w:jc w:val="center"/>
        </w:trPr>
        <w:tc>
          <w:tcPr>
            <w:tcW w:w="466" w:type="pct"/>
            <w:vMerge/>
          </w:tcPr>
          <w:p w:rsidR="00B95E55" w:rsidRDefault="00B95E55" w:rsidP="00EC1149">
            <w:pPr>
              <w:jc w:val="center"/>
              <w:rPr>
                <w:rFonts w:ascii="Times New Roman" w:eastAsia="黑体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pct"/>
            <w:vAlign w:val="center"/>
          </w:tcPr>
          <w:p w:rsidR="00B95E55" w:rsidRPr="00101C70" w:rsidRDefault="00B95E55" w:rsidP="002543C2">
            <w:pPr>
              <w:spacing w:after="0"/>
              <w:jc w:val="both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 w:rsidRPr="00101C70">
              <w:rPr>
                <w:rFonts w:ascii="仿宋_GB2312" w:eastAsia="仿宋_GB2312"/>
                <w:sz w:val="21"/>
                <w:szCs w:val="21"/>
                <w:lang w:eastAsia="zh-CN"/>
              </w:rPr>
              <w:t>4.</w:t>
            </w:r>
            <w:r w:rsidRPr="00101C70"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其他需要集体决策的大额度资金使用。</w:t>
            </w:r>
          </w:p>
        </w:tc>
      </w:tr>
    </w:tbl>
    <w:p w:rsidR="00B95E55" w:rsidRPr="00781433" w:rsidRDefault="00B95E55" w:rsidP="00E37158">
      <w:pPr>
        <w:rPr>
          <w:lang w:eastAsia="zh-CN"/>
        </w:rPr>
      </w:pPr>
    </w:p>
    <w:sectPr w:rsidR="00B95E55" w:rsidRPr="00781433" w:rsidSect="007E1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55" w:rsidRDefault="00B95E55" w:rsidP="007E1793">
      <w:pPr>
        <w:spacing w:after="0" w:line="240" w:lineRule="auto"/>
      </w:pPr>
      <w:r>
        <w:separator/>
      </w:r>
    </w:p>
  </w:endnote>
  <w:endnote w:type="continuationSeparator" w:id="0">
    <w:p w:rsidR="00B95E55" w:rsidRDefault="00B95E55" w:rsidP="007E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5" w:rsidRDefault="00B95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5" w:rsidRDefault="00B95E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5" w:rsidRDefault="00B95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55" w:rsidRDefault="00B95E55" w:rsidP="007E1793">
      <w:pPr>
        <w:spacing w:after="0" w:line="240" w:lineRule="auto"/>
      </w:pPr>
      <w:r>
        <w:separator/>
      </w:r>
    </w:p>
  </w:footnote>
  <w:footnote w:type="continuationSeparator" w:id="0">
    <w:p w:rsidR="00B95E55" w:rsidRDefault="00B95E55" w:rsidP="007E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5" w:rsidRDefault="00B95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5" w:rsidRDefault="00B95E55" w:rsidP="002A0A3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55" w:rsidRDefault="00B95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49"/>
    <w:rsid w:val="00023BF8"/>
    <w:rsid w:val="000640DC"/>
    <w:rsid w:val="000900F9"/>
    <w:rsid w:val="000C27D8"/>
    <w:rsid w:val="000D6025"/>
    <w:rsid w:val="000E1329"/>
    <w:rsid w:val="00101C70"/>
    <w:rsid w:val="00153AA8"/>
    <w:rsid w:val="001F0D85"/>
    <w:rsid w:val="00240CC5"/>
    <w:rsid w:val="002543C2"/>
    <w:rsid w:val="002A0A38"/>
    <w:rsid w:val="003301AB"/>
    <w:rsid w:val="00350635"/>
    <w:rsid w:val="004B54BD"/>
    <w:rsid w:val="00606678"/>
    <w:rsid w:val="0076244F"/>
    <w:rsid w:val="00771F1E"/>
    <w:rsid w:val="00781433"/>
    <w:rsid w:val="00793D44"/>
    <w:rsid w:val="007C5DDA"/>
    <w:rsid w:val="007E1793"/>
    <w:rsid w:val="00957F23"/>
    <w:rsid w:val="009A254E"/>
    <w:rsid w:val="00B95E55"/>
    <w:rsid w:val="00C01C20"/>
    <w:rsid w:val="00C06C2F"/>
    <w:rsid w:val="00C41BA8"/>
    <w:rsid w:val="00C537F6"/>
    <w:rsid w:val="00C62BDC"/>
    <w:rsid w:val="00CF7734"/>
    <w:rsid w:val="00D57F54"/>
    <w:rsid w:val="00E235ED"/>
    <w:rsid w:val="00E37158"/>
    <w:rsid w:val="00EC1149"/>
    <w:rsid w:val="00F45193"/>
    <w:rsid w:val="00FE030C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E34D2"/>
    <w:pPr>
      <w:spacing w:after="200" w:line="252" w:lineRule="auto"/>
    </w:pPr>
    <w:rPr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D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4D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4D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4D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D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D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34D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34D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34D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4D2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34D2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34D2"/>
    <w:rPr>
      <w:rFonts w:eastAsia="宋体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34D2"/>
    <w:rPr>
      <w:rFonts w:eastAsia="宋体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34D2"/>
    <w:rPr>
      <w:rFonts w:eastAsia="宋体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34D2"/>
    <w:rPr>
      <w:rFonts w:eastAsia="宋体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34D2"/>
    <w:rPr>
      <w:rFonts w:eastAsia="宋体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34D2"/>
    <w:rPr>
      <w:rFonts w:eastAsia="宋体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34D2"/>
    <w:rPr>
      <w:rFonts w:eastAsia="宋体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E34D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34D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E34D2"/>
    <w:rPr>
      <w:rFonts w:eastAsia="宋体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34D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34D2"/>
    <w:rPr>
      <w:rFonts w:eastAsia="宋体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FE34D2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FE34D2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E34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E34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34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34D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E34D2"/>
    <w:rPr>
      <w:rFonts w:eastAsia="宋体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34D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34D2"/>
    <w:rPr>
      <w:rFonts w:eastAsia="宋体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E34D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FE34D2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FE34D2"/>
    <w:rPr>
      <w:rFonts w:ascii="Calibri" w:eastAsia="宋体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FE34D2"/>
    <w:rPr>
      <w:rFonts w:ascii="Calibri" w:eastAsia="宋体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FE34D2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E34D2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7E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7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E17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179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USER</cp:lastModifiedBy>
  <cp:revision>18</cp:revision>
  <cp:lastPrinted>2022-12-06T05:20:00Z</cp:lastPrinted>
  <dcterms:created xsi:type="dcterms:W3CDTF">2022-11-03T02:41:00Z</dcterms:created>
  <dcterms:modified xsi:type="dcterms:W3CDTF">2022-12-06T06:08:00Z</dcterms:modified>
</cp:coreProperties>
</file>